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4F" w:rsidRDefault="0009154F" w:rsidP="00665A99">
      <w:pPr>
        <w:ind w:left="1080"/>
        <w:rPr>
          <w:rFonts w:eastAsia="Times New Roman" w:cs="Times New Roman"/>
          <w:color w:val="FF0000"/>
          <w:u w:val="single"/>
          <w:lang w:eastAsia="es-ES"/>
        </w:rPr>
      </w:pPr>
    </w:p>
    <w:tbl>
      <w:tblPr>
        <w:tblStyle w:val="Tablaconcuadrcula"/>
        <w:tblW w:w="0" w:type="auto"/>
        <w:tblInd w:w="108" w:type="dxa"/>
        <w:tblLook w:val="04A0" w:firstRow="1" w:lastRow="0" w:firstColumn="1" w:lastColumn="0" w:noHBand="0" w:noVBand="1"/>
      </w:tblPr>
      <w:tblGrid>
        <w:gridCol w:w="8612"/>
      </w:tblGrid>
      <w:tr w:rsidR="0009154F" w:rsidTr="0009154F">
        <w:tc>
          <w:tcPr>
            <w:tcW w:w="8612" w:type="dxa"/>
            <w:shd w:val="clear" w:color="auto" w:fill="F2F2F2" w:themeFill="background1" w:themeFillShade="F2"/>
          </w:tcPr>
          <w:p w:rsidR="0009154F" w:rsidRPr="0009154F" w:rsidRDefault="0009154F" w:rsidP="0009154F">
            <w:pPr>
              <w:jc w:val="center"/>
              <w:rPr>
                <w:rFonts w:eastAsia="Times New Roman" w:cs="Times New Roman"/>
                <w:b/>
                <w:color w:val="FF0000"/>
                <w:lang w:eastAsia="es-ES"/>
              </w:rPr>
            </w:pPr>
            <w:r w:rsidRPr="0009154F">
              <w:rPr>
                <w:rFonts w:eastAsia="Times New Roman" w:cs="Times New Roman"/>
                <w:b/>
                <w:color w:val="FF0000"/>
                <w:lang w:eastAsia="es-ES"/>
              </w:rPr>
              <w:t>INFORMACION SOBRE EL CONTENIDO DE LA DISCIPLINA: SEGURIDAD</w:t>
            </w:r>
          </w:p>
        </w:tc>
      </w:tr>
    </w:tbl>
    <w:p w:rsidR="00665A99" w:rsidRDefault="00665A99" w:rsidP="0009154F">
      <w:pPr>
        <w:ind w:left="1080"/>
        <w:rPr>
          <w:rFonts w:eastAsia="Times New Roman" w:cs="Times New Roman"/>
          <w:b/>
          <w:color w:val="FF0000"/>
          <w:u w:val="single"/>
          <w:lang w:eastAsia="es-ES"/>
        </w:rPr>
      </w:pPr>
    </w:p>
    <w:p w:rsidR="0009154F" w:rsidRPr="00E82DA7" w:rsidRDefault="0009154F" w:rsidP="0009154F">
      <w:pPr>
        <w:spacing w:after="0" w:line="360" w:lineRule="auto"/>
        <w:jc w:val="both"/>
        <w:rPr>
          <w:rFonts w:eastAsia="Times New Roman" w:cs="Times New Roman"/>
          <w:lang w:eastAsia="es-ES"/>
        </w:rPr>
      </w:pPr>
      <w:r w:rsidRPr="00E82DA7">
        <w:rPr>
          <w:rFonts w:eastAsia="Times New Roman" w:cs="Times New Roman"/>
          <w:lang w:eastAsia="es-ES"/>
        </w:rPr>
        <w:t xml:space="preserve">Los servicios profesionales de </w:t>
      </w:r>
      <w:r w:rsidRPr="00E82DA7">
        <w:rPr>
          <w:rFonts w:eastAsia="Times New Roman" w:cs="Times New Roman"/>
          <w:b/>
          <w:i/>
          <w:color w:val="808080"/>
          <w:lang w:val="es-ES_tradnl" w:eastAsia="es-ES"/>
        </w:rPr>
        <w:t>MEDICAL PREVENCION</w:t>
      </w:r>
      <w:r w:rsidRPr="00E82DA7">
        <w:rPr>
          <w:rFonts w:eastAsia="Times New Roman" w:cs="Times New Roman"/>
          <w:i/>
          <w:color w:val="808080"/>
          <w:lang w:val="es-ES_tradnl" w:eastAsia="es-ES"/>
        </w:rPr>
        <w:t xml:space="preserve"> </w:t>
      </w:r>
      <w:r w:rsidRPr="00E82DA7">
        <w:rPr>
          <w:rFonts w:eastAsia="Times New Roman" w:cs="Times New Roman"/>
          <w:lang w:val="es-ES_tradnl" w:eastAsia="es-ES"/>
        </w:rPr>
        <w:t xml:space="preserve"> </w:t>
      </w:r>
      <w:r w:rsidRPr="00E82DA7">
        <w:rPr>
          <w:rFonts w:eastAsia="Times New Roman" w:cs="Times New Roman"/>
          <w:lang w:eastAsia="es-ES"/>
        </w:rPr>
        <w:t xml:space="preserve">permiten a la empresa cliente, la puesta en práctica de todas aquellas actuaciones encaminadas a dar cumplimiento a las obligaciones legales establecidas por la normativa en materia de prevención de riesgos laborales, quedando así protegida de la asunción de responsabilidades, cumpliendo el deber de seguridad y salud para con los trabajadores y minorando los costes derivados de la ausencia de Prevención en la Organización. </w:t>
      </w:r>
    </w:p>
    <w:p w:rsidR="0009154F" w:rsidRPr="00E82DA7" w:rsidRDefault="0009154F" w:rsidP="0009154F">
      <w:pPr>
        <w:spacing w:after="0" w:line="360" w:lineRule="auto"/>
        <w:ind w:firstLine="708"/>
        <w:jc w:val="both"/>
        <w:rPr>
          <w:rFonts w:eastAsia="Times New Roman" w:cs="Times New Roman"/>
          <w:lang w:eastAsia="es-ES"/>
        </w:rPr>
      </w:pPr>
      <w:r w:rsidRPr="00E82DA7">
        <w:rPr>
          <w:rFonts w:eastAsia="Times New Roman" w:cs="Times New Roman"/>
          <w:lang w:eastAsia="es-ES"/>
        </w:rPr>
        <w:t xml:space="preserve">Toda la actuación preventiva desarrollada por la empresa se fundamenta en la elaboración de un documento clave en materia preventiva, que define el Sistema de Gestión Preventiva en la misma: el </w:t>
      </w:r>
      <w:r w:rsidRPr="00E82DA7">
        <w:rPr>
          <w:rFonts w:eastAsia="Times New Roman" w:cs="Times New Roman"/>
          <w:b/>
          <w:lang w:eastAsia="es-ES"/>
        </w:rPr>
        <w:t>Plan de Prevención de Riesgos Laborales</w:t>
      </w:r>
      <w:r w:rsidRPr="00E82DA7">
        <w:rPr>
          <w:rFonts w:eastAsia="Times New Roman" w:cs="Times New Roman"/>
          <w:lang w:eastAsia="es-ES"/>
        </w:rPr>
        <w:t>.</w:t>
      </w:r>
    </w:p>
    <w:p w:rsidR="0009154F" w:rsidRPr="00E82DA7" w:rsidRDefault="0009154F" w:rsidP="0009154F">
      <w:pPr>
        <w:spacing w:after="0" w:line="360" w:lineRule="auto"/>
        <w:ind w:firstLine="708"/>
        <w:jc w:val="both"/>
        <w:rPr>
          <w:rFonts w:eastAsia="Times New Roman" w:cs="Times New Roman"/>
          <w:lang w:eastAsia="es-ES"/>
        </w:rPr>
      </w:pPr>
      <w:r w:rsidRPr="00E82DA7">
        <w:rPr>
          <w:rFonts w:eastAsia="Times New Roman" w:cs="Times New Roman"/>
          <w:lang w:eastAsia="es-ES"/>
        </w:rPr>
        <w:t xml:space="preserve">Éste deberá incluir la estructura organizativa, las responsabilidades, las funciones, las prácticas, los procedimientos, los procesos y los recursos necesarios para realizar la acción de prevención de riesgos en la empresa, en los términos que reglamentariamente se establezcan. Este aspecto es clave para garantizar una adecuada </w:t>
      </w:r>
      <w:r w:rsidRPr="00E82DA7">
        <w:rPr>
          <w:rFonts w:eastAsia="Times New Roman" w:cs="Times New Roman"/>
          <w:i/>
          <w:lang w:eastAsia="es-ES"/>
        </w:rPr>
        <w:t>integración de la actividad preventiva</w:t>
      </w:r>
      <w:r w:rsidRPr="00E82DA7">
        <w:rPr>
          <w:rFonts w:eastAsia="Times New Roman" w:cs="Times New Roman"/>
          <w:lang w:eastAsia="es-ES"/>
        </w:rPr>
        <w:t xml:space="preserve"> en todos los niveles jerárquicos de la empresa. La integración de la prevención en la empresa es el factor que permite que el nivel de la Prevención de Riesgos alcance cotas de eficacia preventiva satisfactorias y contrastables por terceros.</w:t>
      </w:r>
    </w:p>
    <w:p w:rsidR="0009154F" w:rsidRPr="00E82DA7" w:rsidRDefault="0009154F" w:rsidP="0009154F">
      <w:pPr>
        <w:spacing w:after="0" w:line="360" w:lineRule="auto"/>
        <w:ind w:firstLine="708"/>
        <w:jc w:val="both"/>
        <w:rPr>
          <w:rFonts w:eastAsia="Times New Roman" w:cs="Times New Roman"/>
          <w:lang w:eastAsia="es-ES"/>
        </w:rPr>
      </w:pPr>
      <w:r w:rsidRPr="00E82DA7">
        <w:rPr>
          <w:rFonts w:eastAsia="Times New Roman" w:cs="Times New Roman"/>
          <w:lang w:eastAsia="es-ES"/>
        </w:rPr>
        <w:t xml:space="preserve"> A partir del Plan de Prevención se irán generando documentos preventivos específicos como consecuencia del desarrollo de los diferentes Procedimientos Preventivos contenidos en el Plan. Los Procedimientos esenciales para la gestión y aplicación del plan de prevención de riesgos, que podrán ser llevados a cabo por fases de forma programada, son la </w:t>
      </w:r>
      <w:r w:rsidRPr="00E82DA7">
        <w:rPr>
          <w:rFonts w:eastAsia="Times New Roman" w:cs="Times New Roman"/>
          <w:i/>
          <w:lang w:eastAsia="es-ES"/>
        </w:rPr>
        <w:t>Evaluación de Riesgos Laborales</w:t>
      </w:r>
      <w:r w:rsidRPr="00E82DA7">
        <w:rPr>
          <w:rFonts w:eastAsia="Times New Roman" w:cs="Times New Roman"/>
          <w:lang w:eastAsia="es-ES"/>
        </w:rPr>
        <w:t xml:space="preserve"> y la </w:t>
      </w:r>
      <w:r w:rsidRPr="00E82DA7">
        <w:rPr>
          <w:rFonts w:eastAsia="Times New Roman" w:cs="Times New Roman"/>
          <w:i/>
          <w:lang w:eastAsia="es-ES"/>
        </w:rPr>
        <w:t>Planificación de la Actividad Preventiva</w:t>
      </w:r>
      <w:r w:rsidRPr="00E82DA7">
        <w:rPr>
          <w:rFonts w:eastAsia="Times New Roman" w:cs="Times New Roman"/>
          <w:lang w:eastAsia="es-ES"/>
        </w:rPr>
        <w:t xml:space="preserve">. </w:t>
      </w:r>
    </w:p>
    <w:p w:rsidR="0009154F" w:rsidRPr="00E82DA7" w:rsidRDefault="0009154F" w:rsidP="0009154F">
      <w:pPr>
        <w:spacing w:after="0" w:line="360" w:lineRule="auto"/>
        <w:ind w:firstLine="708"/>
        <w:jc w:val="both"/>
        <w:rPr>
          <w:rFonts w:eastAsia="Times New Roman" w:cs="Times New Roman"/>
          <w:lang w:val="es-ES_tradnl" w:eastAsia="es-ES"/>
        </w:rPr>
      </w:pPr>
      <w:r w:rsidRPr="00E82DA7">
        <w:rPr>
          <w:rFonts w:eastAsia="Times New Roman" w:cs="Times New Roman"/>
          <w:lang w:val="es-ES_tradnl" w:eastAsia="es-ES"/>
        </w:rPr>
        <w:t xml:space="preserve">En la especialidad de </w:t>
      </w:r>
      <w:r w:rsidRPr="00E82DA7">
        <w:rPr>
          <w:rFonts w:eastAsia="Times New Roman" w:cs="Times New Roman"/>
          <w:b/>
          <w:u w:val="single"/>
          <w:lang w:val="es-ES_tradnl" w:eastAsia="es-ES"/>
        </w:rPr>
        <w:t>SEGURIDAD EN EL TRABAJO</w:t>
      </w:r>
      <w:r w:rsidRPr="00E82DA7">
        <w:rPr>
          <w:rFonts w:eastAsia="Times New Roman" w:cs="Times New Roman"/>
          <w:lang w:val="es-ES_tradnl" w:eastAsia="es-ES"/>
        </w:rPr>
        <w:t xml:space="preserve"> identificamos, evaluamos y proponemos las medidas correctoras que procedan, considerando para ello todos los riesgos de esta naturaleza existentes en la empresa, incluyendo los originados por las condiciones de las máquinas, equipos e instalaciones y la verificación de su mantenimiento adecuado, sin perjuicio de las actuaciones de certificación e inspección establecidas por la normativa de seguridad industrial, así como los derivados de las condiciones generales de los lugares de trabajo, locales e instalaciones de servicio y protección.</w:t>
      </w:r>
    </w:p>
    <w:p w:rsidR="00E82DA7" w:rsidRPr="00E82DA7" w:rsidRDefault="00E82DA7" w:rsidP="0009154F">
      <w:pPr>
        <w:spacing w:after="0" w:line="360" w:lineRule="auto"/>
        <w:ind w:firstLine="708"/>
        <w:jc w:val="both"/>
        <w:rPr>
          <w:rFonts w:eastAsia="Times New Roman" w:cs="Times New Roman"/>
          <w:lang w:val="es-ES_tradnl" w:eastAsia="es-ES"/>
        </w:rPr>
      </w:pPr>
      <w:r w:rsidRPr="00E82DA7">
        <w:rPr>
          <w:rFonts w:eastAsia="Times New Roman" w:cs="Times New Roman"/>
          <w:lang w:val="es-ES_tradnl" w:eastAsia="es-ES"/>
        </w:rPr>
        <w:t>Por otra parte, realizamos:</w:t>
      </w:r>
    </w:p>
    <w:p w:rsidR="00E82DA7" w:rsidRPr="00E82DA7" w:rsidRDefault="00E82DA7" w:rsidP="00E82DA7">
      <w:pPr>
        <w:pStyle w:val="Prrafodelista"/>
        <w:numPr>
          <w:ilvl w:val="0"/>
          <w:numId w:val="5"/>
        </w:numPr>
        <w:spacing w:after="0" w:line="360" w:lineRule="auto"/>
        <w:jc w:val="both"/>
        <w:rPr>
          <w:rFonts w:eastAsia="Times New Roman" w:cs="Times New Roman"/>
          <w:u w:val="single"/>
          <w:lang w:eastAsia="es-ES"/>
        </w:rPr>
      </w:pPr>
      <w:r w:rsidRPr="00E82DA7">
        <w:rPr>
          <w:rFonts w:eastAsia="Times New Roman" w:cs="Times New Roman"/>
          <w:u w:val="single"/>
          <w:lang w:eastAsia="es-ES"/>
        </w:rPr>
        <w:t xml:space="preserve">Planes de Autoprotección: </w:t>
      </w:r>
    </w:p>
    <w:p w:rsidR="00E82DA7" w:rsidRPr="00B83199" w:rsidRDefault="00E82DA7" w:rsidP="00E82DA7">
      <w:pPr>
        <w:pStyle w:val="Prrafodelista"/>
        <w:numPr>
          <w:ilvl w:val="0"/>
          <w:numId w:val="7"/>
        </w:numPr>
        <w:spacing w:after="0" w:line="360" w:lineRule="auto"/>
        <w:jc w:val="both"/>
        <w:rPr>
          <w:rFonts w:eastAsia="Times New Roman" w:cs="Times New Roman"/>
          <w:lang w:eastAsia="es-ES"/>
        </w:rPr>
      </w:pPr>
      <w:r w:rsidRPr="00E82DA7">
        <w:rPr>
          <w:rFonts w:eastAsia="Times New Roman" w:cs="Helvetica"/>
          <w:lang w:eastAsia="es-ES"/>
        </w:rPr>
        <w:t>Elaboración del Plan de Autoprotección correspondiente a su actividad y redacción del registro de los datos previstos en el Anexo IV de la Norma Básica de Autoprotección y el Decreto 277/2010 Norma Vasca de Autoprotección.</w:t>
      </w:r>
    </w:p>
    <w:p w:rsidR="00B83199" w:rsidRPr="00B83199" w:rsidRDefault="00B83199" w:rsidP="00B83199">
      <w:pPr>
        <w:spacing w:after="0" w:line="360" w:lineRule="auto"/>
        <w:jc w:val="both"/>
        <w:rPr>
          <w:rFonts w:eastAsia="Times New Roman" w:cs="Times New Roman"/>
          <w:lang w:eastAsia="es-ES"/>
        </w:rPr>
      </w:pPr>
    </w:p>
    <w:p w:rsidR="00E82DA7" w:rsidRPr="00E82DA7" w:rsidRDefault="00E82DA7" w:rsidP="00E82DA7">
      <w:pPr>
        <w:pStyle w:val="Prrafodelista"/>
        <w:numPr>
          <w:ilvl w:val="0"/>
          <w:numId w:val="7"/>
        </w:numPr>
        <w:spacing w:after="0" w:line="360" w:lineRule="auto"/>
        <w:jc w:val="both"/>
        <w:rPr>
          <w:rFonts w:eastAsia="Times New Roman" w:cs="Times New Roman"/>
          <w:lang w:eastAsia="es-ES"/>
        </w:rPr>
      </w:pPr>
      <w:r w:rsidRPr="00E82DA7">
        <w:rPr>
          <w:rFonts w:eastAsia="Times New Roman" w:cs="Helvetica"/>
          <w:lang w:eastAsia="es-ES"/>
        </w:rPr>
        <w:t>Implantación del Plan de Autoprotección a través de acciones formativas a las personas designadas y difusión al resto de personal.</w:t>
      </w:r>
    </w:p>
    <w:p w:rsidR="00E82DA7" w:rsidRPr="00E82DA7" w:rsidRDefault="00E82DA7" w:rsidP="00E82DA7">
      <w:pPr>
        <w:pStyle w:val="Prrafodelista"/>
        <w:numPr>
          <w:ilvl w:val="0"/>
          <w:numId w:val="7"/>
        </w:numPr>
        <w:spacing w:after="0" w:line="360" w:lineRule="auto"/>
        <w:jc w:val="both"/>
        <w:rPr>
          <w:rFonts w:eastAsia="Times New Roman" w:cs="Times New Roman"/>
          <w:lang w:eastAsia="es-ES"/>
        </w:rPr>
      </w:pPr>
      <w:r w:rsidRPr="00E82DA7">
        <w:rPr>
          <w:rFonts w:eastAsia="Times New Roman" w:cs="Helvetica"/>
          <w:lang w:eastAsia="es-ES"/>
        </w:rPr>
        <w:t>Realización de simulacros en colaboración con el Responsable del Plan designado por la empresa y redacción del informe correspondiente.</w:t>
      </w:r>
    </w:p>
    <w:p w:rsidR="00E82DA7" w:rsidRPr="00E82DA7" w:rsidRDefault="00E82DA7" w:rsidP="00E82DA7">
      <w:pPr>
        <w:pStyle w:val="Prrafodelista"/>
        <w:numPr>
          <w:ilvl w:val="0"/>
          <w:numId w:val="7"/>
        </w:numPr>
        <w:spacing w:after="0" w:line="360" w:lineRule="auto"/>
        <w:jc w:val="both"/>
        <w:rPr>
          <w:rFonts w:eastAsia="Times New Roman" w:cs="Times New Roman"/>
          <w:lang w:eastAsia="es-ES"/>
        </w:rPr>
      </w:pPr>
      <w:r w:rsidRPr="00E82DA7">
        <w:rPr>
          <w:rFonts w:eastAsia="Times New Roman" w:cs="Helvetica"/>
          <w:lang w:eastAsia="es-ES"/>
        </w:rPr>
        <w:t>Mantenimiento de la implantación y de la formación e información.</w:t>
      </w:r>
    </w:p>
    <w:p w:rsidR="0009154F" w:rsidRPr="00E82DA7" w:rsidRDefault="0009154F" w:rsidP="008E0843">
      <w:pPr>
        <w:tabs>
          <w:tab w:val="left" w:pos="708"/>
        </w:tabs>
        <w:spacing w:after="0" w:line="360" w:lineRule="auto"/>
        <w:jc w:val="both"/>
        <w:rPr>
          <w:rFonts w:eastAsia="Times New Roman" w:cs="Times New Roman"/>
          <w:lang w:eastAsia="es-ES"/>
        </w:rPr>
      </w:pPr>
    </w:p>
    <w:p w:rsidR="0009154F" w:rsidRPr="00E82DA7" w:rsidRDefault="00E82DA7" w:rsidP="00E82DA7">
      <w:pPr>
        <w:pStyle w:val="Prrafodelista"/>
        <w:numPr>
          <w:ilvl w:val="0"/>
          <w:numId w:val="5"/>
        </w:numPr>
        <w:rPr>
          <w:rFonts w:eastAsia="Times New Roman" w:cs="Times New Roman"/>
          <w:b/>
          <w:u w:val="single"/>
          <w:lang w:val="es-ES_tradnl" w:eastAsia="es-ES"/>
        </w:rPr>
      </w:pPr>
      <w:r w:rsidRPr="00E82DA7">
        <w:rPr>
          <w:rFonts w:eastAsia="Times New Roman" w:cs="Times New Roman"/>
          <w:b/>
          <w:u w:val="single"/>
          <w:lang w:val="es-ES_tradnl" w:eastAsia="es-ES"/>
        </w:rPr>
        <w:t>Simulacros</w:t>
      </w:r>
    </w:p>
    <w:p w:rsidR="00E82DA7" w:rsidRPr="00E82DA7" w:rsidRDefault="00E82DA7" w:rsidP="00E82DA7">
      <w:pPr>
        <w:spacing w:after="75" w:line="255" w:lineRule="atLeast"/>
        <w:ind w:left="600"/>
        <w:jc w:val="both"/>
        <w:rPr>
          <w:rFonts w:eastAsia="Times New Roman" w:cs="Helvetica"/>
          <w:lang w:eastAsia="es-ES"/>
        </w:rPr>
      </w:pPr>
      <w:r w:rsidRPr="00E82DA7">
        <w:rPr>
          <w:rFonts w:eastAsia="Times New Roman" w:cs="Helvetica"/>
          <w:lang w:eastAsia="es-ES"/>
        </w:rPr>
        <w:t xml:space="preserve">Ensayos de </w:t>
      </w:r>
      <w:proofErr w:type="spellStart"/>
      <w:r w:rsidRPr="00E82DA7">
        <w:rPr>
          <w:rFonts w:eastAsia="Times New Roman" w:cs="Helvetica"/>
          <w:lang w:eastAsia="es-ES"/>
        </w:rPr>
        <w:t>como</w:t>
      </w:r>
      <w:proofErr w:type="spellEnd"/>
      <w:r w:rsidRPr="00E82DA7">
        <w:rPr>
          <w:rFonts w:eastAsia="Times New Roman" w:cs="Helvetica"/>
          <w:lang w:eastAsia="es-ES"/>
        </w:rPr>
        <w:t xml:space="preserve"> actuar en caso de una emergencia con el objeto de que las </w:t>
      </w:r>
      <w:proofErr w:type="gramStart"/>
      <w:r w:rsidRPr="00E82DA7">
        <w:rPr>
          <w:rFonts w:eastAsia="Times New Roman" w:cs="Helvetica"/>
          <w:lang w:eastAsia="es-ES"/>
        </w:rPr>
        <w:t>medida</w:t>
      </w:r>
      <w:proofErr w:type="gramEnd"/>
      <w:r w:rsidRPr="00E82DA7">
        <w:rPr>
          <w:rFonts w:eastAsia="Times New Roman" w:cs="Helvetica"/>
          <w:lang w:eastAsia="es-ES"/>
        </w:rPr>
        <w:t xml:space="preserve"> propuestas se desarrollen correctamente. Estos ensayos programados se llaman Simulacros de Emergencia y sus objetivos son el de mejorar las actuaciones corrigiendo los fallos detectados para que el nivel de cumplimiento sea el máximo.</w:t>
      </w:r>
    </w:p>
    <w:p w:rsidR="00E82DA7" w:rsidRPr="00E82DA7" w:rsidRDefault="00E82DA7" w:rsidP="00E82DA7">
      <w:pPr>
        <w:spacing w:after="75" w:line="255" w:lineRule="atLeast"/>
        <w:ind w:left="600"/>
        <w:jc w:val="both"/>
        <w:rPr>
          <w:rFonts w:eastAsia="Times New Roman" w:cs="Helvetica"/>
          <w:lang w:eastAsia="es-ES"/>
        </w:rPr>
      </w:pPr>
    </w:p>
    <w:p w:rsidR="00E82DA7" w:rsidRPr="00E82DA7" w:rsidRDefault="00E82DA7" w:rsidP="00E82DA7">
      <w:pPr>
        <w:pStyle w:val="Prrafodelista"/>
        <w:numPr>
          <w:ilvl w:val="0"/>
          <w:numId w:val="5"/>
        </w:numPr>
        <w:spacing w:after="75" w:line="255" w:lineRule="atLeast"/>
        <w:jc w:val="both"/>
        <w:rPr>
          <w:rFonts w:eastAsia="Times New Roman" w:cs="Helvetica"/>
          <w:b/>
          <w:u w:val="single"/>
          <w:lang w:eastAsia="es-ES"/>
        </w:rPr>
      </w:pPr>
      <w:r w:rsidRPr="00E82DA7">
        <w:rPr>
          <w:rFonts w:eastAsia="Times New Roman" w:cs="Helvetica"/>
          <w:b/>
          <w:u w:val="single"/>
          <w:lang w:eastAsia="es-ES"/>
        </w:rPr>
        <w:t>Actuaciones específicas en el ramo de la construcción</w:t>
      </w:r>
    </w:p>
    <w:p w:rsidR="00E82DA7" w:rsidRPr="00E82DA7" w:rsidRDefault="00E82DA7" w:rsidP="00E82DA7">
      <w:pPr>
        <w:pStyle w:val="Prrafodelista"/>
        <w:spacing w:after="75" w:line="255" w:lineRule="atLeast"/>
        <w:jc w:val="both"/>
        <w:rPr>
          <w:rFonts w:eastAsia="Times New Roman" w:cs="Helvetica"/>
          <w:b/>
          <w:u w:val="single"/>
          <w:lang w:eastAsia="es-ES"/>
        </w:rPr>
      </w:pPr>
    </w:p>
    <w:p w:rsidR="00E82DA7" w:rsidRPr="00E82DA7" w:rsidRDefault="007477DA" w:rsidP="007477DA">
      <w:pPr>
        <w:spacing w:after="75" w:line="255" w:lineRule="atLeast"/>
        <w:ind w:left="600"/>
        <w:jc w:val="both"/>
        <w:rPr>
          <w:rFonts w:eastAsia="Times New Roman" w:cs="Helvetica"/>
          <w:lang w:eastAsia="es-ES"/>
        </w:rPr>
      </w:pPr>
      <w:r>
        <w:rPr>
          <w:rFonts w:eastAsia="Times New Roman" w:cs="Helvetica"/>
          <w:lang w:eastAsia="es-ES"/>
        </w:rPr>
        <w:t xml:space="preserve">Para el ramo de la construcción se han desarrollado reglamentos específicos que son de aplicación a los diferentes intervinientes </w:t>
      </w:r>
      <w:r w:rsidR="00E82DA7" w:rsidRPr="00E82DA7">
        <w:rPr>
          <w:rFonts w:eastAsia="Times New Roman" w:cs="Helvetica"/>
          <w:lang w:eastAsia="es-ES"/>
        </w:rPr>
        <w:t>tales como, el promotor, contratistas, subcontratistas y autónomos, establecen una serie de obligaciones o actuaciones preventivas relacionadas con la identificación y evaluación del riesgo, la planificación de la actividad preventiva y la formación.</w:t>
      </w:r>
    </w:p>
    <w:p w:rsidR="00E82DA7" w:rsidRPr="00E82DA7" w:rsidRDefault="00E82DA7" w:rsidP="00E82DA7">
      <w:pPr>
        <w:spacing w:after="75" w:line="255" w:lineRule="atLeast"/>
        <w:ind w:left="600"/>
        <w:rPr>
          <w:rFonts w:eastAsia="Times New Roman" w:cs="Helvetica"/>
          <w:lang w:eastAsia="es-ES"/>
        </w:rPr>
      </w:pPr>
      <w:r w:rsidRPr="00E82DA7">
        <w:rPr>
          <w:rFonts w:eastAsia="Times New Roman" w:cs="Helvetica"/>
          <w:lang w:eastAsia="es-ES"/>
        </w:rPr>
        <w:t>Entre otras actuaciones podemos destacar las siguientes actividades preventivas:</w:t>
      </w:r>
    </w:p>
    <w:p w:rsidR="00E82DA7" w:rsidRPr="007477DA" w:rsidRDefault="00E82DA7" w:rsidP="007477DA">
      <w:pPr>
        <w:pStyle w:val="Prrafodelista"/>
        <w:numPr>
          <w:ilvl w:val="0"/>
          <w:numId w:val="13"/>
        </w:numPr>
        <w:spacing w:after="75" w:line="255" w:lineRule="atLeast"/>
        <w:rPr>
          <w:rFonts w:eastAsia="Times New Roman" w:cs="Helvetica"/>
          <w:lang w:eastAsia="es-ES"/>
        </w:rPr>
      </w:pPr>
      <w:r w:rsidRPr="007477DA">
        <w:rPr>
          <w:rFonts w:eastAsia="Times New Roman" w:cs="Helvetica"/>
          <w:b/>
          <w:bCs/>
          <w:i/>
          <w:lang w:eastAsia="es-ES"/>
        </w:rPr>
        <w:t>Planes de Seguridad y Salud</w:t>
      </w:r>
      <w:r w:rsidRPr="007477DA">
        <w:rPr>
          <w:rFonts w:eastAsia="Times New Roman" w:cs="Helvetica"/>
          <w:b/>
          <w:bCs/>
          <w:lang w:eastAsia="es-ES"/>
        </w:rPr>
        <w:t>:</w:t>
      </w:r>
    </w:p>
    <w:p w:rsidR="00E82DA7" w:rsidRPr="00E82DA7" w:rsidRDefault="00E82DA7" w:rsidP="007477DA">
      <w:pPr>
        <w:spacing w:after="75" w:line="255" w:lineRule="atLeast"/>
        <w:ind w:left="1320"/>
        <w:jc w:val="both"/>
        <w:rPr>
          <w:rFonts w:eastAsia="Times New Roman" w:cs="Helvetica"/>
          <w:lang w:eastAsia="es-ES"/>
        </w:rPr>
      </w:pPr>
      <w:r w:rsidRPr="00E82DA7">
        <w:rPr>
          <w:rFonts w:eastAsia="Times New Roman" w:cs="Helvetica"/>
          <w:lang w:eastAsia="es-ES"/>
        </w:rPr>
        <w:t xml:space="preserve">El plan de seguridad y salud </w:t>
      </w:r>
      <w:r w:rsidR="007477DA">
        <w:rPr>
          <w:rFonts w:eastAsia="Times New Roman" w:cs="Helvetica"/>
          <w:lang w:eastAsia="es-ES"/>
        </w:rPr>
        <w:t xml:space="preserve">es </w:t>
      </w:r>
      <w:r w:rsidRPr="00E82DA7">
        <w:rPr>
          <w:rFonts w:eastAsia="Times New Roman" w:cs="Helvetica"/>
          <w:lang w:eastAsia="es-ES"/>
        </w:rPr>
        <w:t>el instrumento básico de ordenación de las actividades de identificación y, en su caso, evaluación de los riesgos y planificación de la actividad preventiva, permitiendo la ejecución de la obra en las debidas condiciones de seguridad y salud.</w:t>
      </w:r>
    </w:p>
    <w:p w:rsidR="00E82DA7" w:rsidRPr="00E82DA7" w:rsidRDefault="00E82DA7" w:rsidP="007477DA">
      <w:pPr>
        <w:spacing w:after="75" w:line="255" w:lineRule="atLeast"/>
        <w:ind w:left="807" w:firstLine="468"/>
        <w:jc w:val="both"/>
        <w:rPr>
          <w:rFonts w:eastAsia="Times New Roman" w:cs="Helvetica"/>
          <w:lang w:eastAsia="es-ES"/>
        </w:rPr>
      </w:pPr>
      <w:r w:rsidRPr="00E82DA7">
        <w:rPr>
          <w:rFonts w:eastAsia="Times New Roman" w:cs="Helvetica"/>
          <w:lang w:eastAsia="es-ES"/>
        </w:rPr>
        <w:t>El contenido del plan de seguridad y salud, en líneas generales es:</w:t>
      </w:r>
    </w:p>
    <w:p w:rsidR="00E82DA7" w:rsidRPr="00E82DA7" w:rsidRDefault="00E82DA7" w:rsidP="007477DA">
      <w:pPr>
        <w:numPr>
          <w:ilvl w:val="0"/>
          <w:numId w:val="11"/>
        </w:numPr>
        <w:spacing w:before="75" w:after="75" w:line="240" w:lineRule="auto"/>
        <w:ind w:left="1275" w:firstLine="1"/>
        <w:jc w:val="both"/>
        <w:rPr>
          <w:rFonts w:eastAsia="Times New Roman" w:cs="Helvetica"/>
          <w:lang w:eastAsia="es-ES"/>
        </w:rPr>
      </w:pPr>
      <w:r w:rsidRPr="00E82DA7">
        <w:rPr>
          <w:rFonts w:eastAsia="Times New Roman" w:cs="Helvetica"/>
          <w:lang w:eastAsia="es-ES"/>
        </w:rPr>
        <w:t>Objeto y alcance de la obra</w:t>
      </w:r>
    </w:p>
    <w:p w:rsidR="00E82DA7" w:rsidRPr="00E82DA7" w:rsidRDefault="00E82DA7" w:rsidP="007477DA">
      <w:pPr>
        <w:numPr>
          <w:ilvl w:val="0"/>
          <w:numId w:val="11"/>
        </w:numPr>
        <w:spacing w:before="75" w:after="75" w:line="240" w:lineRule="auto"/>
        <w:ind w:left="1275" w:firstLine="1"/>
        <w:jc w:val="both"/>
        <w:rPr>
          <w:rFonts w:eastAsia="Times New Roman" w:cs="Helvetica"/>
          <w:lang w:eastAsia="es-ES"/>
        </w:rPr>
      </w:pPr>
      <w:r w:rsidRPr="00E82DA7">
        <w:rPr>
          <w:rFonts w:eastAsia="Times New Roman" w:cs="Helvetica"/>
          <w:lang w:eastAsia="es-ES"/>
        </w:rPr>
        <w:t>Definir los recursos especializados y modalidad organizativa en prevención de riesgos laborales para la obra</w:t>
      </w:r>
    </w:p>
    <w:p w:rsidR="00E82DA7" w:rsidRPr="00E82DA7" w:rsidRDefault="00E82DA7" w:rsidP="007477DA">
      <w:pPr>
        <w:numPr>
          <w:ilvl w:val="0"/>
          <w:numId w:val="11"/>
        </w:numPr>
        <w:spacing w:before="75" w:after="75" w:line="240" w:lineRule="auto"/>
        <w:ind w:left="1275" w:firstLine="1"/>
        <w:jc w:val="both"/>
        <w:rPr>
          <w:rFonts w:eastAsia="Times New Roman" w:cs="Helvetica"/>
          <w:lang w:eastAsia="es-ES"/>
        </w:rPr>
      </w:pPr>
      <w:r w:rsidRPr="00E82DA7">
        <w:rPr>
          <w:rFonts w:eastAsia="Times New Roman" w:cs="Helvetica"/>
          <w:lang w:eastAsia="es-ES"/>
        </w:rPr>
        <w:t>Descripción de la obra y las unidades o fases productivas</w:t>
      </w:r>
    </w:p>
    <w:p w:rsidR="00E82DA7" w:rsidRDefault="00E82DA7" w:rsidP="007477DA">
      <w:pPr>
        <w:numPr>
          <w:ilvl w:val="0"/>
          <w:numId w:val="11"/>
        </w:numPr>
        <w:spacing w:before="75" w:after="75" w:line="240" w:lineRule="auto"/>
        <w:ind w:left="1275" w:firstLine="1"/>
        <w:jc w:val="both"/>
        <w:rPr>
          <w:rFonts w:eastAsia="Times New Roman" w:cs="Helvetica"/>
          <w:lang w:eastAsia="es-ES"/>
        </w:rPr>
      </w:pPr>
      <w:r w:rsidRPr="00E82DA7">
        <w:rPr>
          <w:rFonts w:eastAsia="Times New Roman" w:cs="Helvetica"/>
          <w:lang w:eastAsia="es-ES"/>
        </w:rPr>
        <w:t>Identificación y evaluación de los riesgos previstos y las medidas de prevención para cada una de las fases</w:t>
      </w:r>
    </w:p>
    <w:p w:rsidR="00E82DA7" w:rsidRPr="00E82DA7" w:rsidRDefault="00E82DA7" w:rsidP="007477DA">
      <w:pPr>
        <w:numPr>
          <w:ilvl w:val="0"/>
          <w:numId w:val="11"/>
        </w:numPr>
        <w:spacing w:before="75" w:after="75" w:line="240" w:lineRule="auto"/>
        <w:ind w:left="1275" w:firstLine="1"/>
        <w:rPr>
          <w:rFonts w:eastAsia="Times New Roman" w:cs="Helvetica"/>
          <w:lang w:eastAsia="es-ES"/>
        </w:rPr>
      </w:pPr>
      <w:r w:rsidRPr="00E82DA7">
        <w:rPr>
          <w:rFonts w:eastAsia="Times New Roman" w:cs="Helvetica"/>
          <w:lang w:eastAsia="es-ES"/>
        </w:rPr>
        <w:t>Medidas de emergencia y primeros auxilios</w:t>
      </w:r>
    </w:p>
    <w:p w:rsidR="00E82DA7" w:rsidRPr="00E82DA7" w:rsidRDefault="00E82DA7" w:rsidP="007477DA">
      <w:pPr>
        <w:numPr>
          <w:ilvl w:val="0"/>
          <w:numId w:val="11"/>
        </w:numPr>
        <w:spacing w:before="75" w:after="75" w:line="240" w:lineRule="auto"/>
        <w:ind w:left="1275" w:firstLine="1"/>
        <w:rPr>
          <w:rFonts w:eastAsia="Times New Roman" w:cs="Helvetica"/>
          <w:lang w:eastAsia="es-ES"/>
        </w:rPr>
      </w:pPr>
      <w:r w:rsidRPr="00E82DA7">
        <w:rPr>
          <w:rFonts w:eastAsia="Times New Roman" w:cs="Helvetica"/>
          <w:lang w:eastAsia="es-ES"/>
        </w:rPr>
        <w:t>Actuación en caso de accidente y riesgo grave e inminente</w:t>
      </w:r>
    </w:p>
    <w:p w:rsidR="00E82DA7" w:rsidRPr="00E82DA7" w:rsidRDefault="00E82DA7" w:rsidP="007477DA">
      <w:pPr>
        <w:numPr>
          <w:ilvl w:val="0"/>
          <w:numId w:val="11"/>
        </w:numPr>
        <w:spacing w:before="75" w:after="75" w:line="240" w:lineRule="auto"/>
        <w:ind w:left="1275" w:firstLine="1"/>
        <w:rPr>
          <w:rFonts w:eastAsia="Times New Roman" w:cs="Helvetica"/>
          <w:lang w:eastAsia="es-ES"/>
        </w:rPr>
      </w:pPr>
      <w:r w:rsidRPr="00E82DA7">
        <w:rPr>
          <w:rFonts w:eastAsia="Times New Roman" w:cs="Helvetica"/>
          <w:lang w:eastAsia="es-ES"/>
        </w:rPr>
        <w:t>Medidas de actuación en el uso de equipos de trabajo</w:t>
      </w:r>
    </w:p>
    <w:p w:rsidR="00E82DA7" w:rsidRPr="00E82DA7" w:rsidRDefault="00E82DA7" w:rsidP="007477DA">
      <w:pPr>
        <w:numPr>
          <w:ilvl w:val="0"/>
          <w:numId w:val="11"/>
        </w:numPr>
        <w:spacing w:before="75" w:after="75" w:line="240" w:lineRule="auto"/>
        <w:ind w:left="1275" w:firstLine="1"/>
        <w:rPr>
          <w:rFonts w:eastAsia="Times New Roman" w:cs="Helvetica"/>
          <w:lang w:eastAsia="es-ES"/>
        </w:rPr>
      </w:pPr>
      <w:r w:rsidRPr="00E82DA7">
        <w:rPr>
          <w:rFonts w:eastAsia="Times New Roman" w:cs="Helvetica"/>
          <w:lang w:eastAsia="es-ES"/>
        </w:rPr>
        <w:t>Pliego de condiciones</w:t>
      </w:r>
    </w:p>
    <w:p w:rsidR="00E82DA7" w:rsidRPr="00E82DA7" w:rsidRDefault="00E82DA7" w:rsidP="007477DA">
      <w:pPr>
        <w:numPr>
          <w:ilvl w:val="0"/>
          <w:numId w:val="11"/>
        </w:numPr>
        <w:spacing w:before="75" w:after="75" w:line="240" w:lineRule="auto"/>
        <w:ind w:left="1275" w:firstLine="1"/>
        <w:rPr>
          <w:rFonts w:eastAsia="Times New Roman" w:cs="Helvetica"/>
          <w:lang w:eastAsia="es-ES"/>
        </w:rPr>
      </w:pPr>
      <w:r w:rsidRPr="00E82DA7">
        <w:rPr>
          <w:rFonts w:eastAsia="Times New Roman" w:cs="Helvetica"/>
          <w:lang w:eastAsia="es-ES"/>
        </w:rPr>
        <w:t>Planos</w:t>
      </w:r>
    </w:p>
    <w:p w:rsidR="00E82DA7" w:rsidRPr="00E82DA7" w:rsidRDefault="00E82DA7" w:rsidP="007477DA">
      <w:pPr>
        <w:numPr>
          <w:ilvl w:val="0"/>
          <w:numId w:val="11"/>
        </w:numPr>
        <w:spacing w:before="75" w:after="75" w:line="240" w:lineRule="auto"/>
        <w:ind w:left="1275" w:firstLine="1"/>
        <w:rPr>
          <w:rFonts w:eastAsia="Times New Roman" w:cs="Helvetica"/>
          <w:lang w:eastAsia="es-ES"/>
        </w:rPr>
      </w:pPr>
      <w:r w:rsidRPr="00E82DA7">
        <w:rPr>
          <w:rFonts w:eastAsia="Times New Roman" w:cs="Helvetica"/>
          <w:lang w:eastAsia="es-ES"/>
        </w:rPr>
        <w:t>Presupuesto</w:t>
      </w:r>
    </w:p>
    <w:p w:rsidR="00E82DA7" w:rsidRDefault="00E82DA7" w:rsidP="007477DA">
      <w:pPr>
        <w:numPr>
          <w:ilvl w:val="0"/>
          <w:numId w:val="11"/>
        </w:numPr>
        <w:spacing w:before="75" w:after="75" w:line="240" w:lineRule="auto"/>
        <w:ind w:left="1275" w:firstLine="1"/>
        <w:rPr>
          <w:rFonts w:eastAsia="Times New Roman" w:cs="Helvetica"/>
          <w:lang w:eastAsia="es-ES"/>
        </w:rPr>
      </w:pPr>
      <w:r w:rsidRPr="00E82DA7">
        <w:rPr>
          <w:rFonts w:eastAsia="Times New Roman" w:cs="Helvetica"/>
          <w:lang w:eastAsia="es-ES"/>
        </w:rPr>
        <w:t>Anexos</w:t>
      </w:r>
    </w:p>
    <w:p w:rsidR="00B83199" w:rsidRDefault="00B83199" w:rsidP="00B83199">
      <w:pPr>
        <w:spacing w:before="75" w:after="75" w:line="240" w:lineRule="auto"/>
        <w:ind w:left="1276"/>
        <w:rPr>
          <w:rFonts w:eastAsia="Times New Roman" w:cs="Helvetica"/>
          <w:lang w:eastAsia="es-ES"/>
        </w:rPr>
      </w:pPr>
    </w:p>
    <w:p w:rsidR="007477DA" w:rsidRPr="00E82DA7" w:rsidRDefault="007477DA" w:rsidP="007477DA">
      <w:pPr>
        <w:spacing w:before="75" w:after="75" w:line="240" w:lineRule="auto"/>
        <w:ind w:left="1276"/>
        <w:rPr>
          <w:rFonts w:eastAsia="Times New Roman" w:cs="Helvetica"/>
          <w:lang w:eastAsia="es-ES"/>
        </w:rPr>
      </w:pPr>
    </w:p>
    <w:p w:rsidR="00E82DA7" w:rsidRPr="007477DA" w:rsidRDefault="00E82DA7" w:rsidP="007477DA">
      <w:pPr>
        <w:pStyle w:val="Prrafodelista"/>
        <w:numPr>
          <w:ilvl w:val="0"/>
          <w:numId w:val="13"/>
        </w:numPr>
        <w:spacing w:after="75" w:line="255" w:lineRule="atLeast"/>
        <w:rPr>
          <w:rFonts w:eastAsia="Times New Roman" w:cs="Helvetica"/>
          <w:lang w:eastAsia="es-ES"/>
        </w:rPr>
      </w:pPr>
      <w:r w:rsidRPr="007477DA">
        <w:rPr>
          <w:rFonts w:eastAsia="Times New Roman" w:cs="Helvetica"/>
          <w:b/>
          <w:bCs/>
          <w:i/>
          <w:lang w:eastAsia="es-ES"/>
        </w:rPr>
        <w:t>Visitas de Obra</w:t>
      </w:r>
      <w:r w:rsidRPr="007477DA">
        <w:rPr>
          <w:rFonts w:eastAsia="Times New Roman" w:cs="Helvetica"/>
          <w:b/>
          <w:bCs/>
          <w:lang w:eastAsia="es-ES"/>
        </w:rPr>
        <w:t>:</w:t>
      </w:r>
    </w:p>
    <w:p w:rsidR="00E82DA7" w:rsidRPr="00E82DA7" w:rsidRDefault="00E82DA7" w:rsidP="007477DA">
      <w:pPr>
        <w:spacing w:after="75" w:line="255" w:lineRule="atLeast"/>
        <w:ind w:left="1320"/>
        <w:jc w:val="both"/>
        <w:rPr>
          <w:rFonts w:eastAsia="Times New Roman" w:cs="Helvetica"/>
          <w:lang w:eastAsia="es-ES"/>
        </w:rPr>
      </w:pPr>
      <w:r w:rsidRPr="00E82DA7">
        <w:rPr>
          <w:rFonts w:eastAsia="Times New Roman" w:cs="Helvetica"/>
          <w:lang w:eastAsia="es-ES"/>
        </w:rPr>
        <w:t>Las vis</w:t>
      </w:r>
      <w:r w:rsidR="007477DA">
        <w:rPr>
          <w:rFonts w:eastAsia="Times New Roman" w:cs="Helvetica"/>
          <w:lang w:eastAsia="es-ES"/>
        </w:rPr>
        <w:t>i</w:t>
      </w:r>
      <w:r w:rsidRPr="00E82DA7">
        <w:rPr>
          <w:rFonts w:eastAsia="Times New Roman" w:cs="Helvetica"/>
          <w:lang w:eastAsia="es-ES"/>
        </w:rPr>
        <w:t>tas de obra son una actuación preventiva de control que permite al promotor de la obra, a través de la información recibida por el técnico competente, establecer las actuaciones necesarias para mantener unas adecuadas condiciones de trabajo en el lugar visitado.</w:t>
      </w:r>
      <w:r w:rsidR="007477DA">
        <w:rPr>
          <w:rFonts w:eastAsia="Times New Roman" w:cs="Helvetica"/>
          <w:lang w:eastAsia="es-ES"/>
        </w:rPr>
        <w:t xml:space="preserve"> Se pactarán la periodicidad de las visitas y se registrarán anotando los riesgos observados y las medidas de control.</w:t>
      </w:r>
    </w:p>
    <w:p w:rsidR="00E82DA7" w:rsidRPr="007477DA" w:rsidRDefault="00E82DA7" w:rsidP="007477DA">
      <w:pPr>
        <w:pStyle w:val="Prrafodelista"/>
        <w:numPr>
          <w:ilvl w:val="0"/>
          <w:numId w:val="13"/>
        </w:numPr>
        <w:spacing w:after="75" w:line="255" w:lineRule="atLeast"/>
        <w:jc w:val="both"/>
        <w:rPr>
          <w:rFonts w:eastAsia="Times New Roman" w:cs="Helvetica"/>
          <w:i/>
          <w:lang w:eastAsia="es-ES"/>
        </w:rPr>
      </w:pPr>
      <w:r w:rsidRPr="007477DA">
        <w:rPr>
          <w:rFonts w:eastAsia="Times New Roman" w:cs="Helvetica"/>
          <w:b/>
          <w:bCs/>
          <w:i/>
          <w:lang w:eastAsia="es-ES"/>
        </w:rPr>
        <w:t>Coordinador de seguridad y salud:</w:t>
      </w:r>
    </w:p>
    <w:p w:rsidR="00E82DA7" w:rsidRPr="00E82DA7" w:rsidRDefault="00E82DA7" w:rsidP="007477DA">
      <w:pPr>
        <w:spacing w:after="75" w:line="255" w:lineRule="atLeast"/>
        <w:ind w:left="1320"/>
        <w:jc w:val="both"/>
        <w:rPr>
          <w:rFonts w:eastAsia="Times New Roman" w:cs="Helvetica"/>
          <w:lang w:eastAsia="es-ES"/>
        </w:rPr>
      </w:pPr>
      <w:r w:rsidRPr="00E82DA7">
        <w:rPr>
          <w:rFonts w:eastAsia="Times New Roman" w:cs="Helvetica"/>
          <w:lang w:eastAsia="es-ES"/>
        </w:rPr>
        <w:t>En las obras de construcción, cuando en la elaboración del proyecto de obra intervengan varios proyectista</w:t>
      </w:r>
      <w:r w:rsidR="007477DA">
        <w:rPr>
          <w:rFonts w:eastAsia="Times New Roman" w:cs="Helvetica"/>
          <w:lang w:eastAsia="es-ES"/>
        </w:rPr>
        <w:t xml:space="preserve">s o cuando en la ejecución de la obra intervengan varias empresas y/o autónomos, </w:t>
      </w:r>
      <w:r w:rsidRPr="00E82DA7">
        <w:rPr>
          <w:rFonts w:eastAsia="Times New Roman" w:cs="Helvetica"/>
          <w:lang w:eastAsia="es-ES"/>
        </w:rPr>
        <w:t xml:space="preserve"> el promotor deberá designar un coordinador en materia de seguridad y de salud. </w:t>
      </w:r>
    </w:p>
    <w:p w:rsidR="007477DA" w:rsidRDefault="007477DA" w:rsidP="007477DA">
      <w:pPr>
        <w:spacing w:after="75" w:line="255" w:lineRule="atLeast"/>
        <w:ind w:left="1275"/>
        <w:rPr>
          <w:rFonts w:eastAsia="Times New Roman" w:cs="Helvetica"/>
          <w:lang w:eastAsia="es-ES"/>
        </w:rPr>
      </w:pPr>
      <w:r>
        <w:rPr>
          <w:rFonts w:eastAsia="Times New Roman" w:cs="Helvetica"/>
          <w:lang w:eastAsia="es-ES"/>
        </w:rPr>
        <w:t xml:space="preserve"> El Coordinador de Seguridad y salud es un técnico competente que tiene una serie de funciones como las que se resumen a continuación: </w:t>
      </w:r>
    </w:p>
    <w:p w:rsidR="00E82DA7" w:rsidRPr="007477DA" w:rsidRDefault="00E82DA7" w:rsidP="007477DA">
      <w:pPr>
        <w:pStyle w:val="Prrafodelista"/>
        <w:numPr>
          <w:ilvl w:val="0"/>
          <w:numId w:val="14"/>
        </w:numPr>
        <w:spacing w:after="75" w:line="255" w:lineRule="atLeast"/>
        <w:rPr>
          <w:rFonts w:eastAsia="Times New Roman" w:cs="Helvetica"/>
          <w:lang w:eastAsia="es-ES"/>
        </w:rPr>
      </w:pPr>
      <w:r w:rsidRPr="007477DA">
        <w:rPr>
          <w:rFonts w:eastAsia="Times New Roman" w:cs="Helvetica"/>
          <w:lang w:eastAsia="es-ES"/>
        </w:rPr>
        <w:t>Aprobación y Visado por parte del Coordinador de seguridad y salud (CSS) del Plan de Seguridad y Salud presentado por cada contratista, o evaluación específica de los trabajos en ausencia de proyecto.</w:t>
      </w:r>
    </w:p>
    <w:p w:rsidR="00E82DA7" w:rsidRDefault="00E82DA7" w:rsidP="00B83199">
      <w:pPr>
        <w:pStyle w:val="Prrafodelista"/>
        <w:numPr>
          <w:ilvl w:val="0"/>
          <w:numId w:val="14"/>
        </w:numPr>
        <w:spacing w:before="75" w:after="75" w:line="240" w:lineRule="auto"/>
        <w:rPr>
          <w:rFonts w:eastAsia="Times New Roman" w:cs="Helvetica"/>
          <w:lang w:eastAsia="es-ES"/>
        </w:rPr>
      </w:pPr>
      <w:r w:rsidRPr="00B83199">
        <w:rPr>
          <w:rFonts w:eastAsia="Times New Roman" w:cs="Helvetica"/>
          <w:lang w:eastAsia="es-ES"/>
        </w:rPr>
        <w:t>Tramitación del Libro de Incidencias</w:t>
      </w:r>
    </w:p>
    <w:p w:rsidR="00E82DA7" w:rsidRDefault="00E82DA7" w:rsidP="00B83199">
      <w:pPr>
        <w:pStyle w:val="Prrafodelista"/>
        <w:numPr>
          <w:ilvl w:val="0"/>
          <w:numId w:val="14"/>
        </w:numPr>
        <w:spacing w:before="75" w:after="75" w:line="240" w:lineRule="auto"/>
        <w:rPr>
          <w:rFonts w:eastAsia="Times New Roman" w:cs="Helvetica"/>
          <w:lang w:eastAsia="es-ES"/>
        </w:rPr>
      </w:pPr>
      <w:r w:rsidRPr="00B83199">
        <w:rPr>
          <w:rFonts w:eastAsia="Times New Roman" w:cs="Helvetica"/>
          <w:lang w:eastAsia="es-ES"/>
        </w:rPr>
        <w:t>Control del Libro de Subcontratación</w:t>
      </w:r>
    </w:p>
    <w:p w:rsidR="00E82DA7" w:rsidRDefault="00E82DA7" w:rsidP="00B83199">
      <w:pPr>
        <w:pStyle w:val="Prrafodelista"/>
        <w:numPr>
          <w:ilvl w:val="0"/>
          <w:numId w:val="14"/>
        </w:numPr>
        <w:spacing w:before="75" w:after="75" w:line="240" w:lineRule="auto"/>
        <w:rPr>
          <w:rFonts w:eastAsia="Times New Roman" w:cs="Helvetica"/>
          <w:lang w:eastAsia="es-ES"/>
        </w:rPr>
      </w:pPr>
      <w:r w:rsidRPr="00B83199">
        <w:rPr>
          <w:rFonts w:eastAsia="Times New Roman" w:cs="Helvetica"/>
          <w:lang w:eastAsia="es-ES"/>
        </w:rPr>
        <w:t>Coordinación de actividades empresariales. Control Documental</w:t>
      </w:r>
    </w:p>
    <w:p w:rsidR="00E82DA7" w:rsidRDefault="00E82DA7" w:rsidP="00B83199">
      <w:pPr>
        <w:pStyle w:val="Prrafodelista"/>
        <w:numPr>
          <w:ilvl w:val="0"/>
          <w:numId w:val="14"/>
        </w:numPr>
        <w:spacing w:before="75" w:after="75" w:line="240" w:lineRule="auto"/>
        <w:rPr>
          <w:rFonts w:eastAsia="Times New Roman" w:cs="Helvetica"/>
          <w:lang w:eastAsia="es-ES"/>
        </w:rPr>
      </w:pPr>
      <w:r w:rsidRPr="00B83199">
        <w:rPr>
          <w:rFonts w:eastAsia="Times New Roman" w:cs="Helvetica"/>
          <w:lang w:eastAsia="es-ES"/>
        </w:rPr>
        <w:t>Seguimiento del cumplimiento del Plan de Seguridad o Evaluación Especifica de Riesgos</w:t>
      </w:r>
    </w:p>
    <w:p w:rsidR="00E82DA7" w:rsidRDefault="00E82DA7" w:rsidP="00B83199">
      <w:pPr>
        <w:pStyle w:val="Prrafodelista"/>
        <w:numPr>
          <w:ilvl w:val="0"/>
          <w:numId w:val="14"/>
        </w:numPr>
        <w:spacing w:before="75" w:after="75" w:line="240" w:lineRule="auto"/>
        <w:rPr>
          <w:rFonts w:eastAsia="Times New Roman" w:cs="Helvetica"/>
          <w:lang w:eastAsia="es-ES"/>
        </w:rPr>
      </w:pPr>
      <w:r w:rsidRPr="00B83199">
        <w:rPr>
          <w:rFonts w:eastAsia="Times New Roman" w:cs="Helvetica"/>
          <w:lang w:eastAsia="es-ES"/>
        </w:rPr>
        <w:t>Control de las medidas adoptadas por las empresas concurrentes</w:t>
      </w:r>
    </w:p>
    <w:p w:rsidR="00B83199" w:rsidRPr="00B83199" w:rsidRDefault="00B83199" w:rsidP="00B83199">
      <w:pPr>
        <w:pStyle w:val="Prrafodelista"/>
        <w:spacing w:before="75" w:after="75" w:line="240" w:lineRule="auto"/>
        <w:ind w:left="1995"/>
        <w:rPr>
          <w:rFonts w:eastAsia="Times New Roman" w:cs="Helvetica"/>
          <w:lang w:eastAsia="es-ES"/>
        </w:rPr>
      </w:pPr>
    </w:p>
    <w:p w:rsidR="00B83199" w:rsidRDefault="00B83199" w:rsidP="00B83199">
      <w:pPr>
        <w:pStyle w:val="Prrafodelista"/>
        <w:numPr>
          <w:ilvl w:val="0"/>
          <w:numId w:val="5"/>
        </w:numPr>
        <w:spacing w:after="75" w:line="255" w:lineRule="atLeast"/>
        <w:jc w:val="both"/>
        <w:rPr>
          <w:rFonts w:eastAsia="Times New Roman" w:cs="Helvetica"/>
          <w:b/>
          <w:u w:val="single"/>
          <w:lang w:eastAsia="es-ES"/>
        </w:rPr>
      </w:pPr>
      <w:r>
        <w:rPr>
          <w:rFonts w:eastAsia="Times New Roman" w:cs="Helvetica"/>
          <w:b/>
          <w:u w:val="single"/>
          <w:lang w:eastAsia="es-ES"/>
        </w:rPr>
        <w:t>Actuaciones específicas en otros sectores industriales</w:t>
      </w:r>
    </w:p>
    <w:p w:rsidR="00B83199" w:rsidRPr="00B83199" w:rsidRDefault="00B83199" w:rsidP="00B83199">
      <w:pPr>
        <w:pStyle w:val="Prrafodelista"/>
        <w:spacing w:after="75" w:line="255" w:lineRule="atLeast"/>
        <w:jc w:val="both"/>
        <w:rPr>
          <w:rFonts w:eastAsia="Times New Roman" w:cs="Helvetica"/>
          <w:b/>
          <w:u w:val="single"/>
          <w:lang w:eastAsia="es-ES"/>
        </w:rPr>
      </w:pPr>
    </w:p>
    <w:p w:rsidR="00B83199" w:rsidRPr="00B83199" w:rsidRDefault="00B83199" w:rsidP="00B83199">
      <w:pPr>
        <w:pStyle w:val="Prrafodelista"/>
        <w:numPr>
          <w:ilvl w:val="0"/>
          <w:numId w:val="13"/>
        </w:numPr>
        <w:spacing w:before="225" w:after="75" w:line="240" w:lineRule="atLeast"/>
        <w:jc w:val="both"/>
        <w:outlineLvl w:val="3"/>
        <w:rPr>
          <w:rFonts w:eastAsia="Times New Roman" w:cs="Helvetica"/>
          <w:b/>
          <w:bCs/>
          <w:i/>
          <w:lang w:eastAsia="es-ES"/>
        </w:rPr>
      </w:pPr>
      <w:r w:rsidRPr="00B83199">
        <w:rPr>
          <w:rFonts w:eastAsia="Times New Roman" w:cs="Helvetica"/>
          <w:b/>
          <w:bCs/>
          <w:i/>
          <w:lang w:eastAsia="es-ES"/>
        </w:rPr>
        <w:t>ATEX – Atmósferas explosivas</w:t>
      </w:r>
    </w:p>
    <w:p w:rsidR="00B83199" w:rsidRDefault="00B83199" w:rsidP="00B83199">
      <w:pPr>
        <w:spacing w:after="75" w:line="255" w:lineRule="atLeast"/>
        <w:ind w:left="1320"/>
        <w:jc w:val="both"/>
        <w:rPr>
          <w:rFonts w:eastAsia="Times New Roman" w:cs="Helvetica"/>
          <w:lang w:eastAsia="es-ES"/>
        </w:rPr>
      </w:pPr>
      <w:r>
        <w:rPr>
          <w:rFonts w:eastAsia="Times New Roman" w:cs="Helvetica"/>
          <w:lang w:eastAsia="es-ES"/>
        </w:rPr>
        <w:t xml:space="preserve">Analizando y asesorando a la empresa en el cumplimiento de las obligaciones </w:t>
      </w:r>
      <w:r w:rsidRPr="00B83199">
        <w:rPr>
          <w:rFonts w:eastAsia="Times New Roman" w:cs="Helvetica"/>
          <w:lang w:eastAsia="es-ES"/>
        </w:rPr>
        <w:t xml:space="preserve"> marcadas en el RD 681/2003 sobre la protección de la salud y la seguridad de los trabajadores expuestos a los riesgos derivados de atmósfera explosivas en el lugar de trabajo, así como dar cumplimiento al resto de normativas asociadas como el Reglamento de aparatos y sistemas de protección para uso en atmósferas potencialmente explosivas, o el Reglamento de Baja Tensión.</w:t>
      </w:r>
    </w:p>
    <w:p w:rsidR="00B83199" w:rsidRPr="00B83199" w:rsidRDefault="00B83199" w:rsidP="00B83199">
      <w:pPr>
        <w:pStyle w:val="Prrafodelista"/>
        <w:numPr>
          <w:ilvl w:val="0"/>
          <w:numId w:val="13"/>
        </w:numPr>
        <w:spacing w:before="225" w:after="75" w:line="240" w:lineRule="atLeast"/>
        <w:jc w:val="both"/>
        <w:outlineLvl w:val="3"/>
        <w:rPr>
          <w:rFonts w:eastAsia="Times New Roman" w:cs="Helvetica"/>
          <w:bCs/>
          <w:i/>
          <w:lang w:eastAsia="es-ES"/>
        </w:rPr>
      </w:pPr>
      <w:r w:rsidRPr="00B83199">
        <w:rPr>
          <w:rFonts w:eastAsia="Times New Roman" w:cs="Helvetica"/>
          <w:bCs/>
          <w:i/>
          <w:lang w:eastAsia="es-ES"/>
        </w:rPr>
        <w:t>Adecuación de máquinas</w:t>
      </w:r>
    </w:p>
    <w:p w:rsidR="00B83199" w:rsidRPr="00B83199" w:rsidRDefault="00B83199" w:rsidP="00B83199">
      <w:pPr>
        <w:spacing w:after="75" w:line="255" w:lineRule="atLeast"/>
        <w:ind w:left="1320"/>
        <w:jc w:val="both"/>
        <w:rPr>
          <w:rFonts w:eastAsia="Times New Roman" w:cs="Helvetica"/>
          <w:bCs/>
          <w:lang w:eastAsia="es-ES"/>
        </w:rPr>
      </w:pPr>
      <w:r w:rsidRPr="00B83199">
        <w:rPr>
          <w:rFonts w:eastAsia="Times New Roman" w:cs="Helvetica"/>
          <w:bCs/>
          <w:lang w:eastAsia="es-ES"/>
        </w:rPr>
        <w:t>Ayudando a las empresas en el cumplimiento de la Normativa vigente relacionada con los equipos de trabajo en concreto con la maquinaria.</w:t>
      </w:r>
    </w:p>
    <w:p w:rsidR="00B83199" w:rsidRDefault="00B83199" w:rsidP="00B83199">
      <w:pPr>
        <w:spacing w:after="75" w:line="255" w:lineRule="atLeast"/>
        <w:ind w:left="600"/>
        <w:jc w:val="both"/>
        <w:rPr>
          <w:rFonts w:eastAsia="Times New Roman" w:cs="Helvetica"/>
          <w:b/>
          <w:bCs/>
          <w:lang w:eastAsia="es-ES"/>
        </w:rPr>
      </w:pPr>
    </w:p>
    <w:sectPr w:rsidR="00B83199" w:rsidSect="00B83199">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82" w:rsidRDefault="00343F82" w:rsidP="00665A99">
      <w:pPr>
        <w:spacing w:after="0" w:line="240" w:lineRule="auto"/>
      </w:pPr>
      <w:r>
        <w:separator/>
      </w:r>
    </w:p>
  </w:endnote>
  <w:endnote w:type="continuationSeparator" w:id="0">
    <w:p w:rsidR="00343F82" w:rsidRDefault="00343F82" w:rsidP="0066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99" w:rsidRDefault="00B831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229423"/>
      <w:docPartObj>
        <w:docPartGallery w:val="Page Numbers (Bottom of Page)"/>
        <w:docPartUnique/>
      </w:docPartObj>
    </w:sdtPr>
    <w:sdtContent>
      <w:bookmarkStart w:id="0" w:name="_GoBack" w:displacedByCustomXml="prev"/>
      <w:bookmarkEnd w:id="0" w:displacedByCustomXml="prev"/>
      <w:p w:rsidR="00B83199" w:rsidRDefault="00B83199">
        <w:pPr>
          <w:pStyle w:val="Piedepgina"/>
          <w:jc w:val="right"/>
        </w:pPr>
        <w:r>
          <w:fldChar w:fldCharType="begin"/>
        </w:r>
        <w:r>
          <w:instrText>PAGE   \* MERGEFORMAT</w:instrText>
        </w:r>
        <w:r>
          <w:fldChar w:fldCharType="separate"/>
        </w:r>
        <w:r>
          <w:rPr>
            <w:noProof/>
          </w:rPr>
          <w:t>3</w:t>
        </w:r>
        <w:r>
          <w:fldChar w:fldCharType="end"/>
        </w:r>
      </w:p>
    </w:sdtContent>
  </w:sdt>
  <w:p w:rsidR="00B83199" w:rsidRDefault="00B8319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99" w:rsidRDefault="00B831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82" w:rsidRDefault="00343F82" w:rsidP="00665A99">
      <w:pPr>
        <w:spacing w:after="0" w:line="240" w:lineRule="auto"/>
      </w:pPr>
      <w:r>
        <w:separator/>
      </w:r>
    </w:p>
  </w:footnote>
  <w:footnote w:type="continuationSeparator" w:id="0">
    <w:p w:rsidR="00343F82" w:rsidRDefault="00343F82" w:rsidP="00665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99" w:rsidRDefault="00B8319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99" w:rsidRDefault="00665A99">
    <w:pPr>
      <w:pStyle w:val="Encabezado"/>
    </w:pPr>
    <w:r>
      <w:rPr>
        <w:noProof/>
        <w:lang w:eastAsia="es-ES"/>
      </w:rPr>
      <w:drawing>
        <wp:inline distT="0" distB="0" distL="0" distR="0" wp14:anchorId="53EAE36A" wp14:editId="7523331E">
          <wp:extent cx="3993515" cy="780415"/>
          <wp:effectExtent l="0" t="0" r="698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3515" cy="7804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99" w:rsidRDefault="00B831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42F"/>
    <w:multiLevelType w:val="multilevel"/>
    <w:tmpl w:val="7338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B1988"/>
    <w:multiLevelType w:val="hybridMultilevel"/>
    <w:tmpl w:val="E6225148"/>
    <w:lvl w:ilvl="0" w:tplc="0C0A0003">
      <w:start w:val="1"/>
      <w:numFmt w:val="bullet"/>
      <w:lvlText w:val="o"/>
      <w:lvlJc w:val="left"/>
      <w:pPr>
        <w:ind w:left="1320" w:hanging="360"/>
      </w:pPr>
      <w:rPr>
        <w:rFonts w:ascii="Courier New" w:hAnsi="Courier New" w:cs="Courier New"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2">
    <w:nsid w:val="16DE08C6"/>
    <w:multiLevelType w:val="multilevel"/>
    <w:tmpl w:val="74A68B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1EF97D84"/>
    <w:multiLevelType w:val="hybridMultilevel"/>
    <w:tmpl w:val="46CA1C98"/>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227A4C0D"/>
    <w:multiLevelType w:val="multilevel"/>
    <w:tmpl w:val="9B3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3C5698"/>
    <w:multiLevelType w:val="multilevel"/>
    <w:tmpl w:val="B57C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BF32EF"/>
    <w:multiLevelType w:val="multilevel"/>
    <w:tmpl w:val="4B04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531BE"/>
    <w:multiLevelType w:val="hybridMultilevel"/>
    <w:tmpl w:val="F09AD69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4132B9D"/>
    <w:multiLevelType w:val="hybridMultilevel"/>
    <w:tmpl w:val="B17212F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5A02875"/>
    <w:multiLevelType w:val="hybridMultilevel"/>
    <w:tmpl w:val="6E60B95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5F604CA"/>
    <w:multiLevelType w:val="hybridMultilevel"/>
    <w:tmpl w:val="BD2854F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5ACC1D4D"/>
    <w:multiLevelType w:val="hybridMultilevel"/>
    <w:tmpl w:val="87D0D5B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614845C9"/>
    <w:multiLevelType w:val="multilevel"/>
    <w:tmpl w:val="0066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51D89"/>
    <w:multiLevelType w:val="multilevel"/>
    <w:tmpl w:val="A0E6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D13479"/>
    <w:multiLevelType w:val="hybridMultilevel"/>
    <w:tmpl w:val="4E56C660"/>
    <w:lvl w:ilvl="0" w:tplc="0C0A000D">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5">
    <w:nsid w:val="717D152A"/>
    <w:multiLevelType w:val="hybridMultilevel"/>
    <w:tmpl w:val="30CA142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7D16E93"/>
    <w:multiLevelType w:val="multilevel"/>
    <w:tmpl w:val="8F2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983E73"/>
    <w:multiLevelType w:val="hybridMultilevel"/>
    <w:tmpl w:val="CCF204FE"/>
    <w:lvl w:ilvl="0" w:tplc="0C0A0001">
      <w:start w:val="1"/>
      <w:numFmt w:val="bullet"/>
      <w:lvlText w:val=""/>
      <w:lvlJc w:val="left"/>
      <w:pPr>
        <w:ind w:left="1995" w:hanging="360"/>
      </w:pPr>
      <w:rPr>
        <w:rFonts w:ascii="Symbol" w:hAnsi="Symbol" w:hint="default"/>
      </w:rPr>
    </w:lvl>
    <w:lvl w:ilvl="1" w:tplc="0C0A0003" w:tentative="1">
      <w:start w:val="1"/>
      <w:numFmt w:val="bullet"/>
      <w:lvlText w:val="o"/>
      <w:lvlJc w:val="left"/>
      <w:pPr>
        <w:ind w:left="2715" w:hanging="360"/>
      </w:pPr>
      <w:rPr>
        <w:rFonts w:ascii="Courier New" w:hAnsi="Courier New" w:cs="Courier New" w:hint="default"/>
      </w:rPr>
    </w:lvl>
    <w:lvl w:ilvl="2" w:tplc="0C0A0005" w:tentative="1">
      <w:start w:val="1"/>
      <w:numFmt w:val="bullet"/>
      <w:lvlText w:val=""/>
      <w:lvlJc w:val="left"/>
      <w:pPr>
        <w:ind w:left="3435" w:hanging="360"/>
      </w:pPr>
      <w:rPr>
        <w:rFonts w:ascii="Wingdings" w:hAnsi="Wingdings" w:hint="default"/>
      </w:rPr>
    </w:lvl>
    <w:lvl w:ilvl="3" w:tplc="0C0A0001" w:tentative="1">
      <w:start w:val="1"/>
      <w:numFmt w:val="bullet"/>
      <w:lvlText w:val=""/>
      <w:lvlJc w:val="left"/>
      <w:pPr>
        <w:ind w:left="4155" w:hanging="360"/>
      </w:pPr>
      <w:rPr>
        <w:rFonts w:ascii="Symbol" w:hAnsi="Symbol" w:hint="default"/>
      </w:rPr>
    </w:lvl>
    <w:lvl w:ilvl="4" w:tplc="0C0A0003" w:tentative="1">
      <w:start w:val="1"/>
      <w:numFmt w:val="bullet"/>
      <w:lvlText w:val="o"/>
      <w:lvlJc w:val="left"/>
      <w:pPr>
        <w:ind w:left="4875" w:hanging="360"/>
      </w:pPr>
      <w:rPr>
        <w:rFonts w:ascii="Courier New" w:hAnsi="Courier New" w:cs="Courier New" w:hint="default"/>
      </w:rPr>
    </w:lvl>
    <w:lvl w:ilvl="5" w:tplc="0C0A0005" w:tentative="1">
      <w:start w:val="1"/>
      <w:numFmt w:val="bullet"/>
      <w:lvlText w:val=""/>
      <w:lvlJc w:val="left"/>
      <w:pPr>
        <w:ind w:left="5595" w:hanging="360"/>
      </w:pPr>
      <w:rPr>
        <w:rFonts w:ascii="Wingdings" w:hAnsi="Wingdings" w:hint="default"/>
      </w:rPr>
    </w:lvl>
    <w:lvl w:ilvl="6" w:tplc="0C0A0001" w:tentative="1">
      <w:start w:val="1"/>
      <w:numFmt w:val="bullet"/>
      <w:lvlText w:val=""/>
      <w:lvlJc w:val="left"/>
      <w:pPr>
        <w:ind w:left="6315" w:hanging="360"/>
      </w:pPr>
      <w:rPr>
        <w:rFonts w:ascii="Symbol" w:hAnsi="Symbol" w:hint="default"/>
      </w:rPr>
    </w:lvl>
    <w:lvl w:ilvl="7" w:tplc="0C0A0003" w:tentative="1">
      <w:start w:val="1"/>
      <w:numFmt w:val="bullet"/>
      <w:lvlText w:val="o"/>
      <w:lvlJc w:val="left"/>
      <w:pPr>
        <w:ind w:left="7035" w:hanging="360"/>
      </w:pPr>
      <w:rPr>
        <w:rFonts w:ascii="Courier New" w:hAnsi="Courier New" w:cs="Courier New" w:hint="default"/>
      </w:rPr>
    </w:lvl>
    <w:lvl w:ilvl="8" w:tplc="0C0A0005" w:tentative="1">
      <w:start w:val="1"/>
      <w:numFmt w:val="bullet"/>
      <w:lvlText w:val=""/>
      <w:lvlJc w:val="left"/>
      <w:pPr>
        <w:ind w:left="7755" w:hanging="360"/>
      </w:pPr>
      <w:rPr>
        <w:rFonts w:ascii="Wingdings" w:hAnsi="Wingdings" w:hint="default"/>
      </w:rPr>
    </w:lvl>
  </w:abstractNum>
  <w:num w:numId="1">
    <w:abstractNumId w:val="3"/>
  </w:num>
  <w:num w:numId="2">
    <w:abstractNumId w:val="7"/>
  </w:num>
  <w:num w:numId="3">
    <w:abstractNumId w:val="9"/>
  </w:num>
  <w:num w:numId="4">
    <w:abstractNumId w:val="14"/>
  </w:num>
  <w:num w:numId="5">
    <w:abstractNumId w:val="8"/>
  </w:num>
  <w:num w:numId="6">
    <w:abstractNumId w:val="12"/>
  </w:num>
  <w:num w:numId="7">
    <w:abstractNumId w:val="11"/>
  </w:num>
  <w:num w:numId="8">
    <w:abstractNumId w:val="10"/>
  </w:num>
  <w:num w:numId="9">
    <w:abstractNumId w:val="4"/>
  </w:num>
  <w:num w:numId="10">
    <w:abstractNumId w:val="15"/>
  </w:num>
  <w:num w:numId="11">
    <w:abstractNumId w:val="2"/>
  </w:num>
  <w:num w:numId="12">
    <w:abstractNumId w:val="5"/>
  </w:num>
  <w:num w:numId="13">
    <w:abstractNumId w:val="1"/>
  </w:num>
  <w:num w:numId="14">
    <w:abstractNumId w:val="17"/>
  </w:num>
  <w:num w:numId="15">
    <w:abstractNumId w:val="13"/>
  </w:num>
  <w:num w:numId="16">
    <w:abstractNumId w:val="6"/>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F3"/>
    <w:rsid w:val="0009154F"/>
    <w:rsid w:val="00267E6F"/>
    <w:rsid w:val="00343F82"/>
    <w:rsid w:val="004D1BE9"/>
    <w:rsid w:val="00665A99"/>
    <w:rsid w:val="006F4B2D"/>
    <w:rsid w:val="007477DA"/>
    <w:rsid w:val="007D40F3"/>
    <w:rsid w:val="008E0843"/>
    <w:rsid w:val="00B83199"/>
    <w:rsid w:val="00E82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5A99"/>
    <w:pPr>
      <w:ind w:left="720"/>
      <w:contextualSpacing/>
    </w:pPr>
  </w:style>
  <w:style w:type="paragraph" w:styleId="Encabezado">
    <w:name w:val="header"/>
    <w:basedOn w:val="Normal"/>
    <w:link w:val="EncabezadoCar"/>
    <w:uiPriority w:val="99"/>
    <w:unhideWhenUsed/>
    <w:rsid w:val="00665A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5A99"/>
  </w:style>
  <w:style w:type="paragraph" w:styleId="Piedepgina">
    <w:name w:val="footer"/>
    <w:basedOn w:val="Normal"/>
    <w:link w:val="PiedepginaCar"/>
    <w:uiPriority w:val="99"/>
    <w:unhideWhenUsed/>
    <w:rsid w:val="00665A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5A99"/>
  </w:style>
  <w:style w:type="paragraph" w:styleId="Textodeglobo">
    <w:name w:val="Balloon Text"/>
    <w:basedOn w:val="Normal"/>
    <w:link w:val="TextodegloboCar"/>
    <w:uiPriority w:val="99"/>
    <w:semiHidden/>
    <w:unhideWhenUsed/>
    <w:rsid w:val="00665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A99"/>
    <w:rPr>
      <w:rFonts w:ascii="Tahoma" w:hAnsi="Tahoma" w:cs="Tahoma"/>
      <w:sz w:val="16"/>
      <w:szCs w:val="16"/>
    </w:rPr>
  </w:style>
  <w:style w:type="table" w:styleId="Tablaconcuadrcula">
    <w:name w:val="Table Grid"/>
    <w:basedOn w:val="Tablanormal"/>
    <w:uiPriority w:val="59"/>
    <w:rsid w:val="0009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5A99"/>
    <w:pPr>
      <w:ind w:left="720"/>
      <w:contextualSpacing/>
    </w:pPr>
  </w:style>
  <w:style w:type="paragraph" w:styleId="Encabezado">
    <w:name w:val="header"/>
    <w:basedOn w:val="Normal"/>
    <w:link w:val="EncabezadoCar"/>
    <w:uiPriority w:val="99"/>
    <w:unhideWhenUsed/>
    <w:rsid w:val="00665A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5A99"/>
  </w:style>
  <w:style w:type="paragraph" w:styleId="Piedepgina">
    <w:name w:val="footer"/>
    <w:basedOn w:val="Normal"/>
    <w:link w:val="PiedepginaCar"/>
    <w:uiPriority w:val="99"/>
    <w:unhideWhenUsed/>
    <w:rsid w:val="00665A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5A99"/>
  </w:style>
  <w:style w:type="paragraph" w:styleId="Textodeglobo">
    <w:name w:val="Balloon Text"/>
    <w:basedOn w:val="Normal"/>
    <w:link w:val="TextodegloboCar"/>
    <w:uiPriority w:val="99"/>
    <w:semiHidden/>
    <w:unhideWhenUsed/>
    <w:rsid w:val="00665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A99"/>
    <w:rPr>
      <w:rFonts w:ascii="Tahoma" w:hAnsi="Tahoma" w:cs="Tahoma"/>
      <w:sz w:val="16"/>
      <w:szCs w:val="16"/>
    </w:rPr>
  </w:style>
  <w:style w:type="table" w:styleId="Tablaconcuadrcula">
    <w:name w:val="Table Grid"/>
    <w:basedOn w:val="Tablanormal"/>
    <w:uiPriority w:val="59"/>
    <w:rsid w:val="0009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6168">
      <w:bodyDiv w:val="1"/>
      <w:marLeft w:val="0"/>
      <w:marRight w:val="0"/>
      <w:marTop w:val="0"/>
      <w:marBottom w:val="0"/>
      <w:divBdr>
        <w:top w:val="none" w:sz="0" w:space="0" w:color="auto"/>
        <w:left w:val="none" w:sz="0" w:space="0" w:color="auto"/>
        <w:bottom w:val="none" w:sz="0" w:space="0" w:color="auto"/>
        <w:right w:val="none" w:sz="0" w:space="0" w:color="auto"/>
      </w:divBdr>
      <w:divsChild>
        <w:div w:id="1367372848">
          <w:marLeft w:val="0"/>
          <w:marRight w:val="0"/>
          <w:marTop w:val="0"/>
          <w:marBottom w:val="0"/>
          <w:divBdr>
            <w:top w:val="none" w:sz="0" w:space="0" w:color="auto"/>
            <w:left w:val="none" w:sz="0" w:space="0" w:color="auto"/>
            <w:bottom w:val="none" w:sz="0" w:space="0" w:color="auto"/>
            <w:right w:val="none" w:sz="0" w:space="0" w:color="auto"/>
          </w:divBdr>
          <w:divsChild>
            <w:div w:id="1066609809">
              <w:marLeft w:val="0"/>
              <w:marRight w:val="0"/>
              <w:marTop w:val="0"/>
              <w:marBottom w:val="0"/>
              <w:divBdr>
                <w:top w:val="none" w:sz="0" w:space="0" w:color="auto"/>
                <w:left w:val="none" w:sz="0" w:space="0" w:color="auto"/>
                <w:bottom w:val="none" w:sz="0" w:space="0" w:color="auto"/>
                <w:right w:val="none" w:sz="0" w:space="0" w:color="auto"/>
              </w:divBdr>
              <w:divsChild>
                <w:div w:id="1076053635">
                  <w:marLeft w:val="0"/>
                  <w:marRight w:val="0"/>
                  <w:marTop w:val="150"/>
                  <w:marBottom w:val="0"/>
                  <w:divBdr>
                    <w:top w:val="none" w:sz="0" w:space="0" w:color="auto"/>
                    <w:left w:val="none" w:sz="0" w:space="0" w:color="auto"/>
                    <w:bottom w:val="single" w:sz="6" w:space="11" w:color="C6C5C5"/>
                    <w:right w:val="none" w:sz="0" w:space="0" w:color="auto"/>
                  </w:divBdr>
                  <w:divsChild>
                    <w:div w:id="17674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2321">
      <w:bodyDiv w:val="1"/>
      <w:marLeft w:val="0"/>
      <w:marRight w:val="0"/>
      <w:marTop w:val="0"/>
      <w:marBottom w:val="0"/>
      <w:divBdr>
        <w:top w:val="none" w:sz="0" w:space="0" w:color="auto"/>
        <w:left w:val="none" w:sz="0" w:space="0" w:color="auto"/>
        <w:bottom w:val="none" w:sz="0" w:space="0" w:color="auto"/>
        <w:right w:val="none" w:sz="0" w:space="0" w:color="auto"/>
      </w:divBdr>
      <w:divsChild>
        <w:div w:id="1163358167">
          <w:marLeft w:val="0"/>
          <w:marRight w:val="0"/>
          <w:marTop w:val="0"/>
          <w:marBottom w:val="0"/>
          <w:divBdr>
            <w:top w:val="none" w:sz="0" w:space="0" w:color="auto"/>
            <w:left w:val="none" w:sz="0" w:space="0" w:color="auto"/>
            <w:bottom w:val="none" w:sz="0" w:space="0" w:color="auto"/>
            <w:right w:val="none" w:sz="0" w:space="0" w:color="auto"/>
          </w:divBdr>
          <w:divsChild>
            <w:div w:id="1324047031">
              <w:marLeft w:val="0"/>
              <w:marRight w:val="0"/>
              <w:marTop w:val="0"/>
              <w:marBottom w:val="0"/>
              <w:divBdr>
                <w:top w:val="none" w:sz="0" w:space="0" w:color="auto"/>
                <w:left w:val="none" w:sz="0" w:space="0" w:color="auto"/>
                <w:bottom w:val="none" w:sz="0" w:space="0" w:color="auto"/>
                <w:right w:val="none" w:sz="0" w:space="0" w:color="auto"/>
              </w:divBdr>
              <w:divsChild>
                <w:div w:id="1897551193">
                  <w:marLeft w:val="0"/>
                  <w:marRight w:val="0"/>
                  <w:marTop w:val="150"/>
                  <w:marBottom w:val="0"/>
                  <w:divBdr>
                    <w:top w:val="none" w:sz="0" w:space="0" w:color="auto"/>
                    <w:left w:val="none" w:sz="0" w:space="0" w:color="auto"/>
                    <w:bottom w:val="single" w:sz="6" w:space="11" w:color="C6C5C5"/>
                    <w:right w:val="none" w:sz="0" w:space="0" w:color="auto"/>
                  </w:divBdr>
                  <w:divsChild>
                    <w:div w:id="1774860430">
                      <w:marLeft w:val="0"/>
                      <w:marRight w:val="0"/>
                      <w:marTop w:val="0"/>
                      <w:marBottom w:val="0"/>
                      <w:divBdr>
                        <w:top w:val="none" w:sz="0" w:space="0" w:color="auto"/>
                        <w:left w:val="none" w:sz="0" w:space="0" w:color="auto"/>
                        <w:bottom w:val="none" w:sz="0" w:space="0" w:color="auto"/>
                        <w:right w:val="none" w:sz="0" w:space="0" w:color="auto"/>
                      </w:divBdr>
                    </w:div>
                    <w:div w:id="17802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20286">
      <w:bodyDiv w:val="1"/>
      <w:marLeft w:val="0"/>
      <w:marRight w:val="0"/>
      <w:marTop w:val="0"/>
      <w:marBottom w:val="0"/>
      <w:divBdr>
        <w:top w:val="none" w:sz="0" w:space="0" w:color="auto"/>
        <w:left w:val="none" w:sz="0" w:space="0" w:color="auto"/>
        <w:bottom w:val="none" w:sz="0" w:space="0" w:color="auto"/>
        <w:right w:val="none" w:sz="0" w:space="0" w:color="auto"/>
      </w:divBdr>
      <w:divsChild>
        <w:div w:id="824709776">
          <w:marLeft w:val="0"/>
          <w:marRight w:val="0"/>
          <w:marTop w:val="0"/>
          <w:marBottom w:val="0"/>
          <w:divBdr>
            <w:top w:val="none" w:sz="0" w:space="0" w:color="auto"/>
            <w:left w:val="none" w:sz="0" w:space="0" w:color="auto"/>
            <w:bottom w:val="none" w:sz="0" w:space="0" w:color="auto"/>
            <w:right w:val="none" w:sz="0" w:space="0" w:color="auto"/>
          </w:divBdr>
          <w:divsChild>
            <w:div w:id="846410063">
              <w:marLeft w:val="0"/>
              <w:marRight w:val="0"/>
              <w:marTop w:val="0"/>
              <w:marBottom w:val="0"/>
              <w:divBdr>
                <w:top w:val="none" w:sz="0" w:space="0" w:color="auto"/>
                <w:left w:val="none" w:sz="0" w:space="0" w:color="auto"/>
                <w:bottom w:val="none" w:sz="0" w:space="0" w:color="auto"/>
                <w:right w:val="none" w:sz="0" w:space="0" w:color="auto"/>
              </w:divBdr>
              <w:divsChild>
                <w:div w:id="389117294">
                  <w:marLeft w:val="0"/>
                  <w:marRight w:val="0"/>
                  <w:marTop w:val="150"/>
                  <w:marBottom w:val="0"/>
                  <w:divBdr>
                    <w:top w:val="none" w:sz="0" w:space="0" w:color="auto"/>
                    <w:left w:val="none" w:sz="0" w:space="0" w:color="auto"/>
                    <w:bottom w:val="single" w:sz="6" w:space="11" w:color="C6C5C5"/>
                    <w:right w:val="none" w:sz="0" w:space="0" w:color="auto"/>
                  </w:divBdr>
                  <w:divsChild>
                    <w:div w:id="19800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47043">
      <w:bodyDiv w:val="1"/>
      <w:marLeft w:val="0"/>
      <w:marRight w:val="0"/>
      <w:marTop w:val="0"/>
      <w:marBottom w:val="0"/>
      <w:divBdr>
        <w:top w:val="none" w:sz="0" w:space="0" w:color="auto"/>
        <w:left w:val="none" w:sz="0" w:space="0" w:color="auto"/>
        <w:bottom w:val="none" w:sz="0" w:space="0" w:color="auto"/>
        <w:right w:val="none" w:sz="0" w:space="0" w:color="auto"/>
      </w:divBdr>
      <w:divsChild>
        <w:div w:id="851260971">
          <w:marLeft w:val="0"/>
          <w:marRight w:val="0"/>
          <w:marTop w:val="0"/>
          <w:marBottom w:val="0"/>
          <w:divBdr>
            <w:top w:val="none" w:sz="0" w:space="0" w:color="auto"/>
            <w:left w:val="none" w:sz="0" w:space="0" w:color="auto"/>
            <w:bottom w:val="none" w:sz="0" w:space="0" w:color="auto"/>
            <w:right w:val="none" w:sz="0" w:space="0" w:color="auto"/>
          </w:divBdr>
          <w:divsChild>
            <w:div w:id="1828475217">
              <w:marLeft w:val="0"/>
              <w:marRight w:val="0"/>
              <w:marTop w:val="0"/>
              <w:marBottom w:val="0"/>
              <w:divBdr>
                <w:top w:val="none" w:sz="0" w:space="0" w:color="auto"/>
                <w:left w:val="none" w:sz="0" w:space="0" w:color="auto"/>
                <w:bottom w:val="none" w:sz="0" w:space="0" w:color="auto"/>
                <w:right w:val="none" w:sz="0" w:space="0" w:color="auto"/>
              </w:divBdr>
              <w:divsChild>
                <w:div w:id="602299541">
                  <w:marLeft w:val="0"/>
                  <w:marRight w:val="0"/>
                  <w:marTop w:val="150"/>
                  <w:marBottom w:val="0"/>
                  <w:divBdr>
                    <w:top w:val="none" w:sz="0" w:space="0" w:color="auto"/>
                    <w:left w:val="none" w:sz="0" w:space="0" w:color="auto"/>
                    <w:bottom w:val="single" w:sz="6" w:space="11" w:color="C6C5C5"/>
                    <w:right w:val="none" w:sz="0" w:space="0" w:color="auto"/>
                  </w:divBdr>
                  <w:divsChild>
                    <w:div w:id="15691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1275</TotalTime>
  <Pages>3</Pages>
  <Words>1041</Words>
  <Characters>5730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direcciongeneral</dc:creator>
  <cp:keywords/>
  <dc:description/>
  <cp:lastModifiedBy>direcciongeneral</cp:lastModifiedBy>
  <cp:revision>4</cp:revision>
  <dcterms:created xsi:type="dcterms:W3CDTF">2016-07-17T08:10:00Z</dcterms:created>
  <dcterms:modified xsi:type="dcterms:W3CDTF">2016-07-18T08:00:00Z</dcterms:modified>
</cp:coreProperties>
</file>